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8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2°MEDIO D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50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6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6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Derechos humanos y Descolonización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Industrialización en Chile y Estado de Bienestar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Características de la Guerra Fría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Impacto de la Guerra fría en América, Revolución v/s Reforma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Impacto de la Guerra fría en Chile, proyectos políticos excluyentes</w:t>
            </w:r>
          </w:p>
          <w:p w:rsidR="00000000" w:rsidDel="00000000" w:rsidP="00000000" w:rsidRDefault="00000000" w:rsidRPr="00000000" w14:paraId="00000015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8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Ecuaciones cuadráticas de la forma ax^2+bx+c=0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Resolución de ejercicios por factorización y fórmula cuadrática.</w:t>
            </w:r>
          </w:p>
          <w:p w:rsidR="00000000" w:rsidDel="00000000" w:rsidP="00000000" w:rsidRDefault="00000000" w:rsidRPr="00000000" w14:paraId="0000001A">
            <w:pPr>
              <w:shd w:fill="ffffff" w:val="clear"/>
              <w:tabs>
                <w:tab w:val="left" w:leader="none" w:pos="1838"/>
              </w:tabs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Función Cuadrática.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Reconocer e identificar elementos principales de la parábola.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Gráfico de de la parábola en el plano cartesiano</w:t>
            </w:r>
          </w:p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spacing w:line="276" w:lineRule="auto"/>
              <w:ind w:left="72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FUNCIONES DEL SIST NERVIOSO Y SUS ESTRUCTURAS (pág. 126 a la 131)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EL IMPULSO NERVIOSO Y CÓMO SE TRANSMITE ( pág. 134 a la 137)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Nomenclatura IUPAC para nombrar compuestos químicos.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básicos de estructura atómica.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Fórmula según nombres químicos usando las reglas de nomenclatura de IUPAC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Nombre de fórmulas químicas usando la nomenclatura de IUPAC. Utilizando los prefijos griegos.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de oxidación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Identificar: ácidos, sal binaria, hidrácido e hidruro.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Tipos de fuerzas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Leyes de newton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trabajo mecánico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Condicional, dar consejos if i were you, i would....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us+APPGBUYUTHGOpIDE+cd+O0A==">CgMxLjAyCGguZ2pkZ3hzOAByITFNZFJ5MmRqcEtuU0QwSlRmSG5xUVVTVjAyVXUtSlRUSg==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